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3361C0">
      <w:pPr>
        <w:pStyle w:val="BodyText"/>
        <w:spacing w:after="0"/>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D167000" w:rsidR="00F92268" w:rsidRPr="00FF66BF" w:rsidRDefault="006A7217" w:rsidP="00F246C7">
            <w:pPr>
              <w:pStyle w:val="RefTableHeader"/>
            </w:pPr>
            <w:r>
              <w:t>6237-A</w:t>
            </w:r>
          </w:p>
        </w:tc>
      </w:tr>
    </w:tbl>
    <w:p w14:paraId="74FBA5B4" w14:textId="77777777" w:rsidR="00051356" w:rsidRDefault="00051356" w:rsidP="003361C0">
      <w:pPr>
        <w:pStyle w:val="BodyText"/>
        <w:spacing w:after="0"/>
        <w:rPr>
          <w:b/>
          <w:bCs/>
          <w:sz w:val="16"/>
          <w:szCs w:val="16"/>
        </w:rPr>
        <w:sectPr w:rsidR="00051356" w:rsidSect="008E13E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6993C36" w:rsidR="004B15BB" w:rsidRPr="004E27E1" w:rsidRDefault="00F36AF1" w:rsidP="003361C0">
      <w:pPr>
        <w:pStyle w:val="Heading1"/>
        <w:spacing w:after="0"/>
        <w:rPr>
          <w:lang w:val="it-IT"/>
        </w:rPr>
      </w:pPr>
      <w:r w:rsidRPr="004E27E1">
        <w:rPr>
          <w:lang w:val="it-IT"/>
        </w:rPr>
        <w:t>Specialty Guideline Management</w:t>
      </w:r>
      <w:r w:rsidRPr="004E27E1">
        <w:rPr>
          <w:lang w:val="it-IT"/>
        </w:rPr>
        <w:br/>
        <w:t>Loqtorzi</w:t>
      </w:r>
    </w:p>
    <w:p w14:paraId="78861C92" w14:textId="5FA7B24B" w:rsidR="00203468" w:rsidRPr="00BD1CC1" w:rsidRDefault="00C64534" w:rsidP="008E0F0D">
      <w:pPr>
        <w:pStyle w:val="Heading2"/>
      </w:pPr>
      <w:r w:rsidRPr="00BD1CC1">
        <w:t xml:space="preserve">Products Referenced by this </w:t>
      </w:r>
      <w:r w:rsidR="00501602" w:rsidRPr="00BD1CC1">
        <w:t>Document</w:t>
      </w:r>
    </w:p>
    <w:p w14:paraId="5455152B" w14:textId="757439E4"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E79F6">
        <w:t>Over-the-counter (</w:t>
      </w:r>
      <w:r w:rsidRPr="00BD1CC1">
        <w:t>OTC</w:t>
      </w:r>
      <w:r w:rsidR="003E79F6">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99909F7" w:rsidR="00585FFF" w:rsidRPr="00BD1CC1" w:rsidRDefault="00F36AF1" w:rsidP="00E82ABA">
            <w:pPr>
              <w:pStyle w:val="TableDataUnpadded"/>
            </w:pPr>
            <w:r w:rsidRPr="00F36AF1">
              <w:t>Loqtorzi</w:t>
            </w:r>
          </w:p>
        </w:tc>
        <w:tc>
          <w:tcPr>
            <w:tcW w:w="5595" w:type="dxa"/>
          </w:tcPr>
          <w:p w14:paraId="7E26A004" w14:textId="71943763" w:rsidR="00585FFF" w:rsidRPr="00BD1CC1" w:rsidRDefault="00F36AF1" w:rsidP="00E82ABA">
            <w:pPr>
              <w:pStyle w:val="TableDataUnpadded"/>
            </w:pPr>
            <w:proofErr w:type="spellStart"/>
            <w:r w:rsidRPr="00F36AF1">
              <w:t>toripalimab-tpzi</w:t>
            </w:r>
            <w:proofErr w:type="spellEnd"/>
          </w:p>
        </w:tc>
      </w:tr>
    </w:tbl>
    <w:bookmarkEnd w:id="0"/>
    <w:p w14:paraId="14CE6108" w14:textId="3F6FCD73" w:rsidR="00FC1AAD" w:rsidRDefault="00ED052F" w:rsidP="003361C0">
      <w:pPr>
        <w:pStyle w:val="Heading2"/>
        <w:tabs>
          <w:tab w:val="left" w:pos="9540"/>
        </w:tabs>
        <w:spacing w:before="440"/>
      </w:pPr>
      <w:r>
        <w:t>Indications</w:t>
      </w:r>
    </w:p>
    <w:p w14:paraId="490D8CB3" w14:textId="2830DE27" w:rsidR="00F36AF1" w:rsidRPr="00F36AF1" w:rsidRDefault="00F36AF1" w:rsidP="003361C0">
      <w:pPr>
        <w:pStyle w:val="BodyText"/>
        <w:spacing w:after="60"/>
      </w:pPr>
      <w:r w:rsidRPr="00F36AF1">
        <w:t>The indications below including FDA-approved indications and compendial uses are considered a covered benefit provided that all the approval criteria are met and the member has no exclusions to the prescribed therapy.</w:t>
      </w:r>
    </w:p>
    <w:p w14:paraId="134B5687" w14:textId="14F6F997" w:rsidR="00ED052F" w:rsidRPr="00BD1CC1" w:rsidRDefault="00ED052F" w:rsidP="00ED052F">
      <w:pPr>
        <w:pStyle w:val="Heading3"/>
        <w:keepNext w:val="0"/>
      </w:pPr>
      <w:r w:rsidRPr="00BD1CC1">
        <w:t>FDA-</w:t>
      </w:r>
      <w:r w:rsidR="00BD1EE9">
        <w:t>A</w:t>
      </w:r>
      <w:r w:rsidRPr="00BD1CC1">
        <w:t>pproved Indications</w:t>
      </w:r>
      <w:r w:rsidR="00F36AF1" w:rsidRPr="00F36AF1">
        <w:rPr>
          <w:vertAlign w:val="superscript"/>
        </w:rPr>
        <w:t>1</w:t>
      </w:r>
    </w:p>
    <w:p w14:paraId="14EEF76A" w14:textId="3723189E" w:rsidR="00F36AF1" w:rsidRPr="00BD1EE9" w:rsidRDefault="00F36AF1" w:rsidP="00BD1EE9">
      <w:pPr>
        <w:pStyle w:val="ListParagraph"/>
        <w:numPr>
          <w:ilvl w:val="0"/>
          <w:numId w:val="29"/>
        </w:numPr>
      </w:pPr>
      <w:r w:rsidRPr="00BD1EE9">
        <w:t>Loqtorzi is indicated, in combination with cisplatin and gemcitabine, for first-line treatment of adults with metastatic or with recurrent locally advanced nasopharyngeal carcinoma (NPC).</w:t>
      </w:r>
    </w:p>
    <w:p w14:paraId="4C434745" w14:textId="2E96618C" w:rsidR="00ED052F" w:rsidRPr="00BD1EE9" w:rsidRDefault="00F36AF1" w:rsidP="00BD1EE9">
      <w:pPr>
        <w:pStyle w:val="ListParagraph"/>
        <w:numPr>
          <w:ilvl w:val="0"/>
          <w:numId w:val="29"/>
        </w:numPr>
      </w:pPr>
      <w:r w:rsidRPr="00BD1EE9">
        <w:t>Loqtorzi is indicated, as a single agent, for the treatment of adults with recurrent unresectable or metastatic NPC with disease progression on or after a platinum-containing chemotherapy.</w:t>
      </w:r>
    </w:p>
    <w:p w14:paraId="0B5EC236" w14:textId="08F8E864" w:rsidR="0044763A" w:rsidRPr="004E27E1" w:rsidRDefault="009F2EF1" w:rsidP="00BD1EE9">
      <w:pPr>
        <w:pStyle w:val="Heading3"/>
        <w:rPr>
          <w:lang w:val="pt-PT"/>
        </w:rPr>
      </w:pPr>
      <w:r w:rsidRPr="00BD1EE9">
        <w:t>Compendial</w:t>
      </w:r>
      <w:r w:rsidRPr="004E27E1">
        <w:rPr>
          <w:lang w:val="pt-PT"/>
        </w:rPr>
        <w:t xml:space="preserve"> Uses</w:t>
      </w:r>
      <w:r w:rsidR="006A7217" w:rsidRPr="004E27E1">
        <w:rPr>
          <w:vertAlign w:val="superscript"/>
          <w:lang w:val="pt-PT"/>
        </w:rPr>
        <w:t>2</w:t>
      </w:r>
      <w:r w:rsidR="00DE4782">
        <w:rPr>
          <w:vertAlign w:val="superscript"/>
          <w:lang w:val="pt-PT"/>
        </w:rPr>
        <w:t>,3</w:t>
      </w:r>
    </w:p>
    <w:p w14:paraId="1F11EA6A" w14:textId="5999655E" w:rsidR="009A5649" w:rsidRDefault="00F36AF1" w:rsidP="00BD1EE9">
      <w:pPr>
        <w:pStyle w:val="BodyText"/>
        <w:rPr>
          <w:lang w:val="pt-PT"/>
        </w:rPr>
      </w:pPr>
      <w:r w:rsidRPr="004E27E1">
        <w:rPr>
          <w:lang w:val="pt-PT"/>
        </w:rPr>
        <w:t>Nasopharyngeal Carcinoma (NPC)</w:t>
      </w:r>
    </w:p>
    <w:p w14:paraId="4D825015" w14:textId="019D8164" w:rsidR="006C0692" w:rsidRDefault="006C0692" w:rsidP="00BD1EE9">
      <w:pPr>
        <w:pStyle w:val="BodyText"/>
        <w:rPr>
          <w:lang w:val="pt-PT"/>
        </w:rPr>
      </w:pPr>
      <w:r>
        <w:rPr>
          <w:lang w:val="pt-PT"/>
        </w:rPr>
        <w:t>Anal Carcinoma</w:t>
      </w:r>
    </w:p>
    <w:p w14:paraId="624961FA" w14:textId="24B6AC4B" w:rsidR="00813643" w:rsidRDefault="00813643" w:rsidP="00BD1EE9">
      <w:pPr>
        <w:pStyle w:val="BodyText"/>
        <w:rPr>
          <w:lang w:val="pt-PT"/>
        </w:rPr>
      </w:pPr>
      <w:r>
        <w:rPr>
          <w:lang w:val="pt-PT"/>
        </w:rPr>
        <w:t>Small Bowel Adenocarcinoma</w:t>
      </w:r>
    </w:p>
    <w:p w14:paraId="23006992" w14:textId="4067C9CF" w:rsidR="00D659A7" w:rsidRDefault="00D659A7" w:rsidP="00BD1EE9">
      <w:pPr>
        <w:pStyle w:val="BodyText"/>
        <w:rPr>
          <w:lang w:val="pt-PT"/>
        </w:rPr>
      </w:pPr>
      <w:r>
        <w:rPr>
          <w:lang w:val="pt-PT"/>
        </w:rPr>
        <w:t>Colorectal Cancer</w:t>
      </w:r>
    </w:p>
    <w:p w14:paraId="54729026" w14:textId="53E9B709" w:rsidR="00DE4782" w:rsidRPr="004E27E1" w:rsidRDefault="00DE4782" w:rsidP="00BD1EE9">
      <w:pPr>
        <w:pStyle w:val="BodyText"/>
        <w:rPr>
          <w:lang w:val="pt-PT"/>
        </w:rPr>
      </w:pPr>
      <w:r>
        <w:rPr>
          <w:lang w:val="pt-PT"/>
        </w:rPr>
        <w:t>Non-small Cell Lung Cancer (NSCLC)</w:t>
      </w:r>
    </w:p>
    <w:p w14:paraId="0D5A9DD5" w14:textId="36ECA51C" w:rsidR="009A5649" w:rsidRPr="00BD1CC1" w:rsidRDefault="009A5649" w:rsidP="003361C0">
      <w:pPr>
        <w:pStyle w:val="BodyText"/>
        <w:spacing w:after="0"/>
        <w:rPr>
          <w:rFonts w:eastAsia="Arial"/>
        </w:rPr>
      </w:pPr>
      <w:r w:rsidRPr="00BD1CC1">
        <w:t xml:space="preserve">All other indications are considered experimental/investigational and </w:t>
      </w:r>
      <w:r w:rsidRPr="00BD1CC1">
        <w:rPr>
          <w:rFonts w:eastAsia="Arial"/>
        </w:rPr>
        <w:t>not medically necessary.</w:t>
      </w:r>
    </w:p>
    <w:p w14:paraId="24B71C02" w14:textId="77777777" w:rsidR="00BC203E" w:rsidRPr="00BD1CC1" w:rsidRDefault="00BC203E" w:rsidP="00BC203E">
      <w:pPr>
        <w:pStyle w:val="Heading2"/>
      </w:pPr>
      <w:r w:rsidRPr="00BD1CC1">
        <w:lastRenderedPageBreak/>
        <w:t>Documentation</w:t>
      </w:r>
    </w:p>
    <w:p w14:paraId="1FBA50EB" w14:textId="77777777" w:rsidR="00BC203E" w:rsidRDefault="00BC203E" w:rsidP="00BC203E">
      <w:pPr>
        <w:pStyle w:val="BodyText"/>
      </w:pPr>
      <w:r w:rsidRPr="00BD1CC1">
        <w:t>Submission of the following information is necessary to initiate the prior authorization review:</w:t>
      </w:r>
    </w:p>
    <w:p w14:paraId="43365421" w14:textId="77777777" w:rsidR="00BC203E" w:rsidRDefault="00BC203E" w:rsidP="00BC203E">
      <w:pPr>
        <w:pStyle w:val="ListParagraph"/>
        <w:numPr>
          <w:ilvl w:val="0"/>
          <w:numId w:val="34"/>
        </w:numPr>
      </w:pPr>
      <w:r>
        <w:t>Documentation of laboratory report confirming microsatellite instability-high (MSI-H), mismatch repair deficient (dMMR) or polymerase epsilon/delta (POLE/POLD1) tumor status, where applicable.</w:t>
      </w:r>
    </w:p>
    <w:p w14:paraId="43504A10" w14:textId="7BBEBEC2" w:rsidR="00BC203E" w:rsidRPr="00BD1CC1" w:rsidRDefault="00BC203E" w:rsidP="00BC203E">
      <w:pPr>
        <w:pStyle w:val="ListParagraph"/>
        <w:numPr>
          <w:ilvl w:val="0"/>
          <w:numId w:val="34"/>
        </w:numPr>
      </w:pPr>
      <w:r>
        <w:t xml:space="preserve">Documentation of the </w:t>
      </w:r>
      <w:r w:rsidR="00031484">
        <w:t>absence</w:t>
      </w:r>
      <w:r>
        <w:t xml:space="preserve"> of</w:t>
      </w:r>
      <w:r w:rsidR="00D76433">
        <w:t xml:space="preserve"> </w:t>
      </w:r>
      <w:bookmarkStart w:id="1" w:name="_Hlk192603100"/>
      <w:r w:rsidR="00D76433">
        <w:t>epidermal growth factor receptor</w:t>
      </w:r>
      <w:bookmarkEnd w:id="1"/>
      <w:r>
        <w:t xml:space="preserve"> </w:t>
      </w:r>
      <w:r w:rsidR="00D76433">
        <w:t>(</w:t>
      </w:r>
      <w:r>
        <w:t>EGFR</w:t>
      </w:r>
      <w:r w:rsidR="00D76433">
        <w:t>)</w:t>
      </w:r>
      <w:r>
        <w:t xml:space="preserve"> or</w:t>
      </w:r>
      <w:r w:rsidR="00D76433">
        <w:t xml:space="preserve"> </w:t>
      </w:r>
      <w:bookmarkStart w:id="2" w:name="_Hlk192603122"/>
      <w:r w:rsidR="00D76433">
        <w:t>anaplastic lymphoma kinase</w:t>
      </w:r>
      <w:bookmarkEnd w:id="2"/>
      <w:r>
        <w:t xml:space="preserve"> </w:t>
      </w:r>
      <w:r w:rsidR="00D76433">
        <w:t>(</w:t>
      </w:r>
      <w:r>
        <w:t>ALK</w:t>
      </w:r>
      <w:r w:rsidR="00D76433">
        <w:t>)</w:t>
      </w:r>
      <w:r>
        <w:t xml:space="preserve"> mutations, where applicable.</w:t>
      </w:r>
    </w:p>
    <w:p w14:paraId="65A12794" w14:textId="1539AF6D" w:rsidR="000D5101" w:rsidRPr="00AA1E6A" w:rsidRDefault="004715CD" w:rsidP="003361C0">
      <w:pPr>
        <w:pStyle w:val="Heading2"/>
        <w:keepNext w:val="0"/>
        <w:widowControl w:val="0"/>
        <w:tabs>
          <w:tab w:val="clear" w:pos="2880"/>
          <w:tab w:val="left" w:pos="9645"/>
        </w:tabs>
      </w:pPr>
      <w:r w:rsidRPr="00BD1CC1">
        <w:t>Exclusions</w:t>
      </w:r>
    </w:p>
    <w:p w14:paraId="79C47276" w14:textId="13A2D5F3" w:rsidR="00C75C02" w:rsidRPr="00BD1CC1" w:rsidRDefault="00F36AF1" w:rsidP="003361C0">
      <w:pPr>
        <w:pStyle w:val="BodyText"/>
        <w:widowControl w:val="0"/>
      </w:pPr>
      <w:r w:rsidRPr="00BD1EE9">
        <w:t>Coverage</w:t>
      </w:r>
      <w:r w:rsidRPr="00F36AF1">
        <w:t xml:space="preserve"> will not be provided for members who have experienced disease progression while on PD-1 or PD-L1 inhibitor therapy.</w:t>
      </w:r>
    </w:p>
    <w:p w14:paraId="50A38FBA" w14:textId="20F86330" w:rsidR="00FE0C63" w:rsidRPr="00100B91" w:rsidRDefault="00685107" w:rsidP="00322DA2">
      <w:pPr>
        <w:pStyle w:val="Heading2"/>
        <w:tabs>
          <w:tab w:val="left" w:pos="9690"/>
        </w:tabs>
      </w:pPr>
      <w:r>
        <w:t>Coverage Criteria</w:t>
      </w:r>
    </w:p>
    <w:p w14:paraId="5956AEA0" w14:textId="2F86E27D" w:rsidR="00F36AF1" w:rsidRPr="00F36AF1" w:rsidRDefault="00F36AF1" w:rsidP="00F36AF1">
      <w:pPr>
        <w:pStyle w:val="Heading3"/>
      </w:pPr>
      <w:r w:rsidRPr="00F36AF1">
        <w:t xml:space="preserve">Nasopharyngeal </w:t>
      </w:r>
      <w:r w:rsidR="00B32E29" w:rsidRPr="00F36AF1">
        <w:t>Carcinoma (</w:t>
      </w:r>
      <w:r w:rsidRPr="00F36AF1">
        <w:t>NPC</w:t>
      </w:r>
      <w:r w:rsidR="00B32E29" w:rsidRPr="00F36AF1">
        <w:t>)</w:t>
      </w:r>
      <w:r w:rsidR="00B32E29" w:rsidRPr="00F36AF1">
        <w:rPr>
          <w:vertAlign w:val="superscript"/>
        </w:rPr>
        <w:t>1,2</w:t>
      </w:r>
    </w:p>
    <w:p w14:paraId="6D7625FC" w14:textId="64AB9B8B" w:rsidR="00F36AF1" w:rsidRPr="00F36AF1" w:rsidRDefault="00F36AF1" w:rsidP="00BD1EE9">
      <w:pPr>
        <w:pStyle w:val="BodyText"/>
      </w:pPr>
      <w:r w:rsidRPr="00F36AF1">
        <w:t>Authorization of 6 months may be granted when either of the following criteria are met:</w:t>
      </w:r>
    </w:p>
    <w:p w14:paraId="689C2A08" w14:textId="267AFDF0" w:rsidR="00F36AF1" w:rsidRPr="00BD1EE9" w:rsidRDefault="00F36AF1" w:rsidP="00BD1EE9">
      <w:pPr>
        <w:pStyle w:val="ListParagraph"/>
        <w:numPr>
          <w:ilvl w:val="0"/>
          <w:numId w:val="30"/>
        </w:numPr>
      </w:pPr>
      <w:r w:rsidRPr="00BD1EE9">
        <w:t>The requested medication will be used in combination with cisplatin and gemcitabine for the treatment of unresectable, metastatic or recurrent locally advanced NPC.</w:t>
      </w:r>
    </w:p>
    <w:p w14:paraId="554B6E8F" w14:textId="38C98520" w:rsidR="00B836B0" w:rsidRDefault="00F36AF1" w:rsidP="00BD1EE9">
      <w:pPr>
        <w:pStyle w:val="ListParagraph"/>
        <w:numPr>
          <w:ilvl w:val="0"/>
          <w:numId w:val="30"/>
        </w:numPr>
      </w:pPr>
      <w:r w:rsidRPr="00BD1EE9">
        <w:t>The requested medication will be used as a single agent for treatment of recurrent, unresectable or metastatic NPC with disease progression on or after a platinum-containing chemotherapy.</w:t>
      </w:r>
    </w:p>
    <w:p w14:paraId="6944DE7D" w14:textId="77777777" w:rsidR="006C0692" w:rsidRDefault="006C0692" w:rsidP="006C0692">
      <w:pPr>
        <w:pStyle w:val="Heading3"/>
      </w:pPr>
      <w:r>
        <w:t>Anal Carcinoma</w:t>
      </w:r>
      <w:r>
        <w:rPr>
          <w:vertAlign w:val="superscript"/>
        </w:rPr>
        <w:t>2</w:t>
      </w:r>
    </w:p>
    <w:p w14:paraId="1218528E" w14:textId="76CCF2D4" w:rsidR="006C0692" w:rsidRDefault="006C0692" w:rsidP="006C0692">
      <w:pPr>
        <w:pStyle w:val="BodyText"/>
      </w:pPr>
      <w:r>
        <w:t>Authorization of 6 months may be granted as a single agent for subsequent treatment of metastatic anal carcinoma if the member has not received prior immunotherapy.</w:t>
      </w:r>
    </w:p>
    <w:p w14:paraId="01B3009A" w14:textId="77777777" w:rsidR="006C0692" w:rsidRDefault="006C0692" w:rsidP="006C0692">
      <w:pPr>
        <w:pStyle w:val="Heading3"/>
      </w:pPr>
      <w:r>
        <w:t>Small Bowel Adenocarcinoma</w:t>
      </w:r>
      <w:r w:rsidRPr="00CC7E54">
        <w:rPr>
          <w:vertAlign w:val="superscript"/>
        </w:rPr>
        <w:t>2</w:t>
      </w:r>
    </w:p>
    <w:p w14:paraId="4B2ABB48" w14:textId="3DDA5E82" w:rsidR="006C0692" w:rsidRDefault="006C0692" w:rsidP="006C0692">
      <w:pPr>
        <w:pStyle w:val="BodyText"/>
      </w:pPr>
      <w:r>
        <w:t>Authorization of 6 months may be granted as a single agent for treatment of</w:t>
      </w:r>
      <w:r w:rsidR="00813643">
        <w:t xml:space="preserve"> locally unresectable, medically inoperable,</w:t>
      </w:r>
      <w:r>
        <w:t xml:space="preserve"> advanced or metastatic small bowel adenocarcinoma for microsatellite instability-high (MSI-H), or deficient mismatch repair (dMMR), or polymerase epsilon/delta (POLE/POLD1) mutation with ultra-hypermutated phenotype tumors.</w:t>
      </w:r>
    </w:p>
    <w:p w14:paraId="617270FF" w14:textId="7E44A030" w:rsidR="006A7E3D" w:rsidRDefault="006A7E3D" w:rsidP="006A7E3D">
      <w:pPr>
        <w:pStyle w:val="Heading3"/>
      </w:pPr>
      <w:r>
        <w:lastRenderedPageBreak/>
        <w:t>Colorectal Cancer</w:t>
      </w:r>
      <w:r>
        <w:rPr>
          <w:vertAlign w:val="superscript"/>
        </w:rPr>
        <w:t>2</w:t>
      </w:r>
    </w:p>
    <w:p w14:paraId="7E65D980" w14:textId="07A910DC" w:rsidR="006A7E3D" w:rsidRDefault="006A7E3D" w:rsidP="006A7E3D">
      <w:pPr>
        <w:pStyle w:val="BodyText"/>
      </w:pPr>
      <w:r>
        <w:t xml:space="preserve">Authorization of 6 months may be granted as a single agent for the treatment of unresectable, medically inoperable, advanced, or metastatic colorectal cancer, including appendiceal </w:t>
      </w:r>
      <w:r w:rsidR="00D47E26">
        <w:t>adeno</w:t>
      </w:r>
      <w:r>
        <w:t>carcinoma, for microsatellite instability-high (MSI-H), or deficient mismatch repair (dMMR), or polymerase epsilon/delta (POLE/POLD1) mutation with ultra-hypermutated phenotype tumors.</w:t>
      </w:r>
    </w:p>
    <w:p w14:paraId="4B60F268" w14:textId="1D10B37B" w:rsidR="007600C1" w:rsidRPr="00D356D5" w:rsidRDefault="007600C1" w:rsidP="007600C1">
      <w:pPr>
        <w:pStyle w:val="Heading3"/>
      </w:pPr>
      <w:r>
        <w:t>Non</w:t>
      </w:r>
      <w:r>
        <w:rPr>
          <w:rFonts w:cs="Times New Roman"/>
          <w:bCs w:val="0"/>
          <w:sz w:val="22"/>
          <w:szCs w:val="20"/>
        </w:rPr>
        <w:t>-</w:t>
      </w:r>
      <w:r w:rsidRPr="00E33A3B">
        <w:t>small Cell Lung Cancer (NSCLC)</w:t>
      </w:r>
      <w:r>
        <w:rPr>
          <w:vertAlign w:val="superscript"/>
        </w:rPr>
        <w:t>3</w:t>
      </w:r>
    </w:p>
    <w:p w14:paraId="6140677B" w14:textId="77777777" w:rsidR="007600C1" w:rsidRDefault="007600C1" w:rsidP="007600C1">
      <w:pPr>
        <w:pStyle w:val="BodyText"/>
      </w:pPr>
      <w:r>
        <w:t>Authorization of 6 months may be granted:</w:t>
      </w:r>
    </w:p>
    <w:p w14:paraId="5D08D37C" w14:textId="7A591291" w:rsidR="007600C1" w:rsidRPr="00E33A3B" w:rsidRDefault="007600C1" w:rsidP="008F0EF4">
      <w:pPr>
        <w:pStyle w:val="BodyText"/>
        <w:numPr>
          <w:ilvl w:val="0"/>
          <w:numId w:val="32"/>
        </w:numPr>
      </w:pPr>
      <w:r>
        <w:t>F</w:t>
      </w:r>
      <w:r w:rsidRPr="00E33A3B">
        <w:t>or treatment of advanced</w:t>
      </w:r>
      <w:r w:rsidR="000161DB">
        <w:t xml:space="preserve"> </w:t>
      </w:r>
      <w:r w:rsidRPr="00E33A3B">
        <w:t xml:space="preserve">NSCLC when there are no EGFR or ALK </w:t>
      </w:r>
      <w:r w:rsidR="00AD235C">
        <w:t>mutations</w:t>
      </w:r>
      <w:r w:rsidRPr="00E33A3B">
        <w:t xml:space="preserve"> (unless testing is not feasible due to insufficient tissue) and </w:t>
      </w:r>
      <w:r w:rsidR="00AD235C">
        <w:t>t</w:t>
      </w:r>
      <w:r w:rsidRPr="00E33A3B">
        <w:t>he requested medication will be used as a first-lin</w:t>
      </w:r>
      <w:r w:rsidR="000161DB">
        <w:t xml:space="preserve">e treatment </w:t>
      </w:r>
      <w:r w:rsidR="000161DB" w:rsidRPr="00E33A3B">
        <w:t>in combination with platinum</w:t>
      </w:r>
      <w:r w:rsidR="000161DB">
        <w:t>-doublet</w:t>
      </w:r>
      <w:r w:rsidR="000161DB" w:rsidRPr="00E33A3B">
        <w:t xml:space="preserve"> chemotherapy and then continued as single agent </w:t>
      </w:r>
      <w:r w:rsidR="000161DB">
        <w:t xml:space="preserve">maintenance </w:t>
      </w:r>
      <w:r w:rsidR="000161DB" w:rsidRPr="00E33A3B">
        <w:t>therapy</w:t>
      </w:r>
      <w:r w:rsidRPr="00E33A3B">
        <w:t>.</w:t>
      </w:r>
    </w:p>
    <w:p w14:paraId="186E4A87" w14:textId="72A1463C" w:rsidR="006C0692" w:rsidRPr="00BD1EE9" w:rsidRDefault="007600C1" w:rsidP="008F0EF4">
      <w:pPr>
        <w:pStyle w:val="BodyText"/>
        <w:numPr>
          <w:ilvl w:val="0"/>
          <w:numId w:val="31"/>
        </w:numPr>
      </w:pPr>
      <w:r>
        <w:t>A</w:t>
      </w:r>
      <w:r w:rsidRPr="00E33A3B">
        <w:t>s neoadjuvant treatment</w:t>
      </w:r>
      <w:r w:rsidR="00366693">
        <w:t xml:space="preserve"> if </w:t>
      </w:r>
      <w:r w:rsidR="00366693" w:rsidRPr="00E33A3B">
        <w:t xml:space="preserve">there are no EGFR or ALK </w:t>
      </w:r>
      <w:r w:rsidR="00366693">
        <w:t>mutations</w:t>
      </w:r>
      <w:r w:rsidR="00366693" w:rsidRPr="00E33A3B">
        <w:t xml:space="preserve"> (unless testing is not feasible due to insufficient tissue) </w:t>
      </w:r>
      <w:r w:rsidRPr="00E33A3B">
        <w:t>when used in combination with platinum</w:t>
      </w:r>
      <w:r>
        <w:t>-doublet</w:t>
      </w:r>
      <w:r w:rsidRPr="00E33A3B">
        <w:t xml:space="preserve"> chemotherapy and then continued as single agent adjuvant therapy after surgery.</w:t>
      </w:r>
    </w:p>
    <w:p w14:paraId="3A643EC3" w14:textId="576C9CE1" w:rsidR="00A501AC" w:rsidRPr="00BD1CC1" w:rsidRDefault="00A501AC" w:rsidP="00A501AC">
      <w:pPr>
        <w:pStyle w:val="Heading2"/>
      </w:pPr>
      <w:r w:rsidRPr="00BD1CC1">
        <w:t>Continuation of Therapy</w:t>
      </w:r>
    </w:p>
    <w:p w14:paraId="0E6991CC" w14:textId="420B3597" w:rsidR="004A10F1" w:rsidRPr="008F0EF4" w:rsidRDefault="004A10F1" w:rsidP="003D46B0">
      <w:pPr>
        <w:pStyle w:val="BodyText"/>
        <w:rPr>
          <w:sz w:val="32"/>
          <w:szCs w:val="32"/>
        </w:rPr>
      </w:pPr>
      <w:r w:rsidRPr="008F0EF4">
        <w:rPr>
          <w:sz w:val="32"/>
          <w:szCs w:val="32"/>
        </w:rPr>
        <w:t>Nasopharyngeal Carcinoma</w:t>
      </w:r>
    </w:p>
    <w:p w14:paraId="32C8905D" w14:textId="11B0E6F4" w:rsidR="00A501AC" w:rsidRDefault="006A7217" w:rsidP="003D46B0">
      <w:pPr>
        <w:pStyle w:val="BodyText"/>
      </w:pPr>
      <w:r w:rsidRPr="006A7217">
        <w:t xml:space="preserve">Authorization of 6 months (for up to 24 months total when being used as first line therapy) may be granted for continued treatment in members requesting reauthorization for </w:t>
      </w:r>
      <w:r w:rsidR="004A10F1">
        <w:t>nasopharyngeal carcinoma</w:t>
      </w:r>
      <w:r w:rsidRPr="006A7217">
        <w:t xml:space="preserve"> when there is no evidence of unacceptable toxicity or disease progression while on the current regimen.</w:t>
      </w:r>
    </w:p>
    <w:p w14:paraId="41903A6C" w14:textId="671957C6" w:rsidR="007600C1" w:rsidRDefault="007600C1" w:rsidP="007600C1">
      <w:pPr>
        <w:pStyle w:val="Heading3"/>
      </w:pPr>
      <w:r>
        <w:t>Neoa</w:t>
      </w:r>
      <w:r w:rsidRPr="004A0EB2">
        <w:t>djuvant NSCLC</w:t>
      </w:r>
    </w:p>
    <w:p w14:paraId="609C8CAC" w14:textId="441F24D8" w:rsidR="007600C1" w:rsidRDefault="007600C1" w:rsidP="007600C1">
      <w:pPr>
        <w:pStyle w:val="BodyText"/>
      </w:pPr>
      <w:r w:rsidRPr="004A0EB2">
        <w:t>Authorization of 6 months may be granted (up to 1</w:t>
      </w:r>
      <w:r>
        <w:t>3 cycles</w:t>
      </w:r>
      <w:r w:rsidRPr="004A0EB2">
        <w:t xml:space="preserve"> total) for continued treatment in members requesting reauthorization for </w:t>
      </w:r>
      <w:r w:rsidR="000161DB">
        <w:t>neo</w:t>
      </w:r>
      <w:r w:rsidRPr="004A0EB2">
        <w:t xml:space="preserve">adjuvant treatment of NSCLC who have not experienced disease </w:t>
      </w:r>
      <w:r w:rsidR="000161DB">
        <w:t>progression</w:t>
      </w:r>
      <w:r w:rsidRPr="004A0EB2">
        <w:t xml:space="preserve"> or an unacceptable toxicity.</w:t>
      </w:r>
    </w:p>
    <w:p w14:paraId="2F00F908" w14:textId="40E24112" w:rsidR="000161DB" w:rsidRDefault="000161DB" w:rsidP="007600C1">
      <w:pPr>
        <w:pStyle w:val="BodyText"/>
        <w:rPr>
          <w:sz w:val="32"/>
          <w:szCs w:val="32"/>
        </w:rPr>
      </w:pPr>
      <w:r w:rsidRPr="008F0EF4">
        <w:rPr>
          <w:sz w:val="32"/>
          <w:szCs w:val="32"/>
        </w:rPr>
        <w:t>NSCLC</w:t>
      </w:r>
    </w:p>
    <w:p w14:paraId="5AD9D986" w14:textId="610D779D" w:rsidR="007600C1" w:rsidRDefault="000161DB" w:rsidP="003D46B0">
      <w:pPr>
        <w:pStyle w:val="BodyText"/>
      </w:pPr>
      <w:r w:rsidRPr="006A7217">
        <w:t xml:space="preserve">Authorization of 6 months (for up to 24 months total) may be granted for continued treatment in members requesting reauthorization for </w:t>
      </w:r>
      <w:r w:rsidR="00AD235C">
        <w:t>NSCLC</w:t>
      </w:r>
      <w:r w:rsidRPr="006A7217">
        <w:t xml:space="preserve"> when there is no evidence of unacceptable toxicity or disease progression while on the current regimen.</w:t>
      </w:r>
    </w:p>
    <w:p w14:paraId="6549D1C6" w14:textId="5558BC5C" w:rsidR="004A10F1" w:rsidRPr="008F0EF4" w:rsidRDefault="004A10F1" w:rsidP="004A10F1">
      <w:pPr>
        <w:pStyle w:val="BodyText"/>
        <w:rPr>
          <w:sz w:val="32"/>
          <w:szCs w:val="32"/>
        </w:rPr>
      </w:pPr>
      <w:r w:rsidRPr="008F0EF4">
        <w:rPr>
          <w:sz w:val="32"/>
          <w:szCs w:val="32"/>
        </w:rPr>
        <w:t>All Other Indications</w:t>
      </w:r>
    </w:p>
    <w:p w14:paraId="7167CA02" w14:textId="43C9C0A0" w:rsidR="004A10F1" w:rsidRPr="003D46B0" w:rsidRDefault="004A10F1" w:rsidP="003D46B0">
      <w:pPr>
        <w:pStyle w:val="BodyText"/>
      </w:pPr>
      <w:r w:rsidRPr="006A7217">
        <w:lastRenderedPageBreak/>
        <w:t>Authorization of 6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7CCB4285" w:rsidR="00FF66BF" w:rsidRPr="008D1B34" w:rsidRDefault="00FF66BF" w:rsidP="00FF66BF">
      <w:pPr>
        <w:pStyle w:val="Heading2"/>
      </w:pPr>
      <w:r w:rsidRPr="008D1B34">
        <w:t>References</w:t>
      </w:r>
    </w:p>
    <w:p w14:paraId="42E7EC04" w14:textId="4A98CF58" w:rsidR="006A7217" w:rsidRPr="00BD1EE9" w:rsidRDefault="006A7217" w:rsidP="00BD1EE9">
      <w:pPr>
        <w:pStyle w:val="ReferenceOrdered"/>
      </w:pPr>
      <w:r w:rsidRPr="00BD1EE9">
        <w:t>Loqtorzi [package insert]. Redwood City, CA: Coherus BioSciences, Inc; October 202</w:t>
      </w:r>
      <w:r w:rsidR="00E268A6">
        <w:t>4</w:t>
      </w:r>
      <w:r w:rsidRPr="00BD1EE9">
        <w:t>.</w:t>
      </w:r>
    </w:p>
    <w:p w14:paraId="60D490DC" w14:textId="4C032EAF" w:rsidR="000767AE" w:rsidRDefault="006A7217" w:rsidP="00BD1EE9">
      <w:pPr>
        <w:pStyle w:val="ReferenceOrdered"/>
      </w:pPr>
      <w:r w:rsidRPr="00BD1EE9">
        <w:t>The NCCN Drugs &amp; Biologics Compendium 202</w:t>
      </w:r>
      <w:r w:rsidR="00E268A6">
        <w:t>5</w:t>
      </w:r>
      <w:r w:rsidRPr="00BD1EE9">
        <w:t xml:space="preserve"> National Comprehensive Cancer Network, Inc. Available at: http://www.nccn.org. Accessed March </w:t>
      </w:r>
      <w:r w:rsidR="00E268A6">
        <w:t>4</w:t>
      </w:r>
      <w:r w:rsidRPr="00BD1EE9">
        <w:t>, 202</w:t>
      </w:r>
      <w:r w:rsidR="00E268A6">
        <w:t>5</w:t>
      </w:r>
      <w:r w:rsidR="00FF66BF" w:rsidRPr="00BD1EE9">
        <w:t>.</w:t>
      </w:r>
    </w:p>
    <w:p w14:paraId="2A84E868" w14:textId="43F8631A" w:rsidR="00DE4782" w:rsidRDefault="00DE4782" w:rsidP="00DE4782">
      <w:pPr>
        <w:pStyle w:val="ReferenceOrdered"/>
      </w:pPr>
      <w:r w:rsidRPr="000A684F">
        <w:t xml:space="preserve">IBM Micromedex® DRUGDEX® (electronic version). IBM Watson Health, Greenwood Village, Colorado, USA. Available at https://www.micromedexsolutions.com Accessed </w:t>
      </w:r>
      <w:r>
        <w:t>March</w:t>
      </w:r>
      <w:r w:rsidRPr="000A684F">
        <w:t xml:space="preserve"> </w:t>
      </w:r>
      <w:r>
        <w:t>6</w:t>
      </w:r>
      <w:r w:rsidRPr="000A684F">
        <w:t>, 202</w:t>
      </w:r>
      <w:r>
        <w:t>5</w:t>
      </w:r>
      <w:r w:rsidRPr="000A684F">
        <w:t>.</w:t>
      </w:r>
    </w:p>
    <w:sectPr w:rsidR="00DE4782" w:rsidSect="00157E21">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0174F" w14:textId="77777777" w:rsidR="00BC3B12" w:rsidRDefault="00BC3B12">
      <w:r>
        <w:separator/>
      </w:r>
    </w:p>
  </w:endnote>
  <w:endnote w:type="continuationSeparator" w:id="0">
    <w:p w14:paraId="3F9EAE57" w14:textId="77777777" w:rsidR="00BC3B12" w:rsidRDefault="00BC3B12">
      <w:r>
        <w:continuationSeparator/>
      </w:r>
    </w:p>
  </w:endnote>
  <w:endnote w:type="continuationNotice" w:id="1">
    <w:p w14:paraId="37919898" w14:textId="77777777" w:rsidR="00BC3B12" w:rsidRDefault="00BC3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F6D4E" w14:textId="5789E047" w:rsidR="00DD59BA" w:rsidRPr="00EC47B6" w:rsidRDefault="00DD59BA" w:rsidP="00DD59B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A38B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1D24DD" w:rsidRPr="001D24DD">
      <w:rPr>
        <w:rFonts w:cs="Arial"/>
        <w:noProof/>
        <w:sz w:val="16"/>
        <w:szCs w:val="16"/>
        <w:lang w:val="it-IT"/>
      </w:rPr>
      <w:t>Loqtorzi</w:t>
    </w:r>
    <w:r w:rsidR="001D24DD">
      <w:rPr>
        <w:rFonts w:cs="Arial"/>
        <w:noProof/>
        <w:snapToGrid w:val="0"/>
        <w:color w:val="000000"/>
        <w:sz w:val="16"/>
        <w:szCs w:val="16"/>
        <w:lang w:val="it-IT"/>
      </w:rPr>
      <w:t xml:space="preserve"> SGM 6237-A</w:t>
    </w:r>
    <w:r w:rsidR="001D24DD" w:rsidRPr="001D24DD">
      <w:rPr>
        <w:rFonts w:cs="Arial"/>
        <w:noProof/>
        <w:sz w:val="16"/>
        <w:szCs w:val="16"/>
        <w:lang w:val="it-IT"/>
      </w:rPr>
      <w:t xml:space="preserve"> P2025.docx</w:t>
    </w:r>
    <w:r w:rsidRPr="00EC47B6">
      <w:rPr>
        <w:rFonts w:cs="Arial"/>
        <w:noProof/>
        <w:sz w:val="16"/>
        <w:szCs w:val="16"/>
      </w:rPr>
      <w:fldChar w:fldCharType="end"/>
    </w:r>
    <w:r w:rsidRPr="006A38BD">
      <w:rPr>
        <w:rFonts w:cs="Arial"/>
        <w:snapToGrid w:val="0"/>
        <w:color w:val="000000"/>
        <w:sz w:val="16"/>
        <w:lang w:val="it-IT"/>
      </w:rPr>
      <w:tab/>
      <w:t>© 202</w:t>
    </w:r>
    <w:r w:rsidR="00E268A6">
      <w:rPr>
        <w:rFonts w:cs="Arial"/>
        <w:snapToGrid w:val="0"/>
        <w:color w:val="000000"/>
        <w:sz w:val="16"/>
        <w:lang w:val="it-IT"/>
      </w:rPr>
      <w:t>5</w:t>
    </w:r>
    <w:r w:rsidRPr="006A38BD">
      <w:rPr>
        <w:rFonts w:cs="Arial"/>
        <w:snapToGrid w:val="0"/>
        <w:color w:val="000000"/>
        <w:sz w:val="16"/>
        <w:lang w:val="it-IT"/>
      </w:rPr>
      <w:t xml:space="preserve"> CVS Caremark. </w:t>
    </w:r>
    <w:r w:rsidRPr="00EC47B6">
      <w:rPr>
        <w:rFonts w:cs="Arial"/>
        <w:snapToGrid w:val="0"/>
        <w:color w:val="000000"/>
        <w:sz w:val="16"/>
      </w:rPr>
      <w:t>All rights reserved.</w:t>
    </w:r>
  </w:p>
  <w:p w14:paraId="72E10966" w14:textId="77777777" w:rsidR="00DD59BA" w:rsidRPr="00EC47B6" w:rsidRDefault="00DD59BA" w:rsidP="00DD59B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E327382" w:rsidR="00F75C81" w:rsidRPr="00AA1E6A" w:rsidRDefault="00DD59BA" w:rsidP="00157E21">
    <w:pPr>
      <w:tabs>
        <w:tab w:val="right" w:pos="10710"/>
      </w:tabs>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8076" w14:textId="3675F5EA" w:rsidR="006A38BD" w:rsidRPr="00EC47B6" w:rsidRDefault="006A38BD" w:rsidP="006A38BD">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6A38B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1D24DD" w:rsidRPr="001D24DD">
      <w:rPr>
        <w:rFonts w:cs="Arial"/>
        <w:noProof/>
        <w:sz w:val="16"/>
        <w:szCs w:val="16"/>
        <w:lang w:val="it-IT"/>
      </w:rPr>
      <w:t>Loqtorzi</w:t>
    </w:r>
    <w:r w:rsidR="001D24DD">
      <w:rPr>
        <w:rFonts w:cs="Arial"/>
        <w:noProof/>
        <w:snapToGrid w:val="0"/>
        <w:color w:val="000000"/>
        <w:sz w:val="16"/>
        <w:szCs w:val="16"/>
        <w:lang w:val="it-IT"/>
      </w:rPr>
      <w:t xml:space="preserve"> SGM 6237-A</w:t>
    </w:r>
    <w:r w:rsidR="001D24DD" w:rsidRPr="001D24DD">
      <w:rPr>
        <w:rFonts w:cs="Arial"/>
        <w:noProof/>
        <w:sz w:val="16"/>
        <w:szCs w:val="16"/>
        <w:lang w:val="it-IT"/>
      </w:rPr>
      <w:t xml:space="preserve"> P2025.docx</w:t>
    </w:r>
    <w:r w:rsidRPr="00EC47B6">
      <w:rPr>
        <w:rFonts w:cs="Arial"/>
        <w:noProof/>
        <w:sz w:val="16"/>
        <w:szCs w:val="16"/>
      </w:rPr>
      <w:fldChar w:fldCharType="end"/>
    </w:r>
    <w:r w:rsidRPr="006A38BD">
      <w:rPr>
        <w:rFonts w:cs="Arial"/>
        <w:snapToGrid w:val="0"/>
        <w:color w:val="000000"/>
        <w:sz w:val="16"/>
        <w:lang w:val="it-IT"/>
      </w:rPr>
      <w:tab/>
      <w:t>© 202</w:t>
    </w:r>
    <w:r w:rsidR="00E268A6">
      <w:rPr>
        <w:rFonts w:cs="Arial"/>
        <w:snapToGrid w:val="0"/>
        <w:color w:val="000000"/>
        <w:sz w:val="16"/>
        <w:lang w:val="it-IT"/>
      </w:rPr>
      <w:t>5</w:t>
    </w:r>
    <w:r w:rsidRPr="006A38BD">
      <w:rPr>
        <w:rFonts w:cs="Arial"/>
        <w:snapToGrid w:val="0"/>
        <w:color w:val="000000"/>
        <w:sz w:val="16"/>
        <w:lang w:val="it-IT"/>
      </w:rPr>
      <w:t xml:space="preserve"> CVS Caremark. </w:t>
    </w:r>
    <w:r w:rsidRPr="00EC47B6">
      <w:rPr>
        <w:rFonts w:cs="Arial"/>
        <w:snapToGrid w:val="0"/>
        <w:color w:val="000000"/>
        <w:sz w:val="16"/>
      </w:rPr>
      <w:t>All rights reserved.</w:t>
    </w:r>
  </w:p>
  <w:p w14:paraId="262403EA" w14:textId="120589FA" w:rsidR="006A38BD" w:rsidRPr="00EC47B6" w:rsidRDefault="006A38BD" w:rsidP="006A38BD">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58FD8AFC" w14:textId="0931D7C2" w:rsidR="006A38BD" w:rsidRPr="00F50D98" w:rsidRDefault="006A38BD" w:rsidP="00157E2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AC69D" w14:textId="77777777" w:rsidR="00BC3B12" w:rsidRDefault="00BC3B12">
      <w:r>
        <w:separator/>
      </w:r>
    </w:p>
  </w:footnote>
  <w:footnote w:type="continuationSeparator" w:id="0">
    <w:p w14:paraId="1B434A54" w14:textId="77777777" w:rsidR="00BC3B12" w:rsidRDefault="00BC3B12">
      <w:r>
        <w:continuationSeparator/>
      </w:r>
    </w:p>
  </w:footnote>
  <w:footnote w:type="continuationNotice" w:id="1">
    <w:p w14:paraId="7FACA112" w14:textId="77777777" w:rsidR="00BC3B12" w:rsidRDefault="00BC3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6A38BD" w:rsidRDefault="00ED04EC" w:rsidP="00ED04EC">
          <w:pPr>
            <w:pStyle w:val="Header"/>
            <w:rPr>
              <w:rFonts w:cs="Arial"/>
              <w:sz w:val="16"/>
              <w:szCs w:val="16"/>
            </w:rPr>
          </w:pPr>
          <w:r w:rsidRPr="006A38B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043D945" w:rsidR="00ED04EC" w:rsidRPr="006A38BD" w:rsidRDefault="006A7217" w:rsidP="00ED04EC">
          <w:pPr>
            <w:pStyle w:val="Header"/>
            <w:rPr>
              <w:rFonts w:cs="Arial"/>
              <w:sz w:val="16"/>
              <w:szCs w:val="16"/>
            </w:rPr>
          </w:pPr>
          <w:r w:rsidRPr="006A38BD">
            <w:rPr>
              <w:rFonts w:cs="Arial"/>
              <w:sz w:val="16"/>
              <w:szCs w:val="16"/>
            </w:rPr>
            <w:t>6237-A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F674CAE"/>
    <w:multiLevelType w:val="hybridMultilevel"/>
    <w:tmpl w:val="FDA2B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892E97"/>
    <w:multiLevelType w:val="hybridMultilevel"/>
    <w:tmpl w:val="0448B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A176D7"/>
    <w:multiLevelType w:val="hybridMultilevel"/>
    <w:tmpl w:val="BE925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0D6EF3"/>
    <w:multiLevelType w:val="hybridMultilevel"/>
    <w:tmpl w:val="2CA40CB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C2161C3"/>
    <w:multiLevelType w:val="hybridMultilevel"/>
    <w:tmpl w:val="60065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7C49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626997"/>
    <w:multiLevelType w:val="hybridMultilevel"/>
    <w:tmpl w:val="0C64A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32"/>
  </w:num>
  <w:num w:numId="18" w16cid:durableId="299724409">
    <w:abstractNumId w:val="25"/>
  </w:num>
  <w:num w:numId="19" w16cid:durableId="214585573">
    <w:abstractNumId w:val="13"/>
  </w:num>
  <w:num w:numId="20" w16cid:durableId="1289816170">
    <w:abstractNumId w:val="14"/>
  </w:num>
  <w:num w:numId="21" w16cid:durableId="1066490929">
    <w:abstractNumId w:val="33"/>
  </w:num>
  <w:num w:numId="22" w16cid:durableId="1472481103">
    <w:abstractNumId w:val="27"/>
  </w:num>
  <w:num w:numId="23" w16cid:durableId="1997420403">
    <w:abstractNumId w:val="30"/>
  </w:num>
  <w:num w:numId="24" w16cid:durableId="33312838">
    <w:abstractNumId w:val="26"/>
  </w:num>
  <w:num w:numId="25" w16cid:durableId="507404939">
    <w:abstractNumId w:val="16"/>
  </w:num>
  <w:num w:numId="26" w16cid:durableId="1950313333">
    <w:abstractNumId w:val="21"/>
  </w:num>
  <w:num w:numId="27" w16cid:durableId="1866016584">
    <w:abstractNumId w:val="19"/>
  </w:num>
  <w:num w:numId="28" w16cid:durableId="2078085929">
    <w:abstractNumId w:val="23"/>
  </w:num>
  <w:num w:numId="29" w16cid:durableId="958802795">
    <w:abstractNumId w:val="31"/>
  </w:num>
  <w:num w:numId="30" w16cid:durableId="576983128">
    <w:abstractNumId w:val="15"/>
  </w:num>
  <w:num w:numId="31" w16cid:durableId="645206624">
    <w:abstractNumId w:val="18"/>
  </w:num>
  <w:num w:numId="32" w16cid:durableId="307898446">
    <w:abstractNumId w:val="22"/>
  </w:num>
  <w:num w:numId="33" w16cid:durableId="1129975922">
    <w:abstractNumId w:val="20"/>
  </w:num>
  <w:num w:numId="34" w16cid:durableId="536308908">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130"/>
    <w:rsid w:val="000161DB"/>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484"/>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3B"/>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48C"/>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57E2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5C57"/>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4DD"/>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195"/>
    <w:rsid w:val="00322DA2"/>
    <w:rsid w:val="00322EB1"/>
    <w:rsid w:val="00323534"/>
    <w:rsid w:val="003242E2"/>
    <w:rsid w:val="003254F4"/>
    <w:rsid w:val="00325919"/>
    <w:rsid w:val="003262EA"/>
    <w:rsid w:val="0032667A"/>
    <w:rsid w:val="0032670A"/>
    <w:rsid w:val="00326990"/>
    <w:rsid w:val="00327428"/>
    <w:rsid w:val="00327C29"/>
    <w:rsid w:val="00330E29"/>
    <w:rsid w:val="003317C6"/>
    <w:rsid w:val="003319A7"/>
    <w:rsid w:val="00332104"/>
    <w:rsid w:val="00332261"/>
    <w:rsid w:val="0033231E"/>
    <w:rsid w:val="0033351E"/>
    <w:rsid w:val="00333878"/>
    <w:rsid w:val="00333FEE"/>
    <w:rsid w:val="003357AB"/>
    <w:rsid w:val="003361C0"/>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693"/>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E79F6"/>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1CB"/>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10F1"/>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27E1"/>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A0D"/>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0D88"/>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B52"/>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8BD"/>
    <w:rsid w:val="006A3CFD"/>
    <w:rsid w:val="006A3F40"/>
    <w:rsid w:val="006A7217"/>
    <w:rsid w:val="006A790B"/>
    <w:rsid w:val="006A7B7D"/>
    <w:rsid w:val="006A7E3D"/>
    <w:rsid w:val="006B01F7"/>
    <w:rsid w:val="006B33B8"/>
    <w:rsid w:val="006B34B3"/>
    <w:rsid w:val="006B371D"/>
    <w:rsid w:val="006B4156"/>
    <w:rsid w:val="006B556B"/>
    <w:rsid w:val="006B5AAA"/>
    <w:rsid w:val="006B5DBA"/>
    <w:rsid w:val="006B65A1"/>
    <w:rsid w:val="006B6AB6"/>
    <w:rsid w:val="006B717C"/>
    <w:rsid w:val="006B732C"/>
    <w:rsid w:val="006C05C5"/>
    <w:rsid w:val="006C0692"/>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5EB9"/>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0C1"/>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242"/>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643"/>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3E6"/>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0EF4"/>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662"/>
    <w:rsid w:val="0097384C"/>
    <w:rsid w:val="009738C0"/>
    <w:rsid w:val="00973AD2"/>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FD3"/>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344"/>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35C"/>
    <w:rsid w:val="00AD457D"/>
    <w:rsid w:val="00AD5212"/>
    <w:rsid w:val="00AD5E4E"/>
    <w:rsid w:val="00AD6657"/>
    <w:rsid w:val="00AD6ADD"/>
    <w:rsid w:val="00AD703C"/>
    <w:rsid w:val="00AE0658"/>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2E29"/>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03E"/>
    <w:rsid w:val="00BC2111"/>
    <w:rsid w:val="00BC2848"/>
    <w:rsid w:val="00BC3272"/>
    <w:rsid w:val="00BC3508"/>
    <w:rsid w:val="00BC3B12"/>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1EE9"/>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035"/>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14"/>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425"/>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47E26"/>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9A7"/>
    <w:rsid w:val="00D665CC"/>
    <w:rsid w:val="00D67252"/>
    <w:rsid w:val="00D70C19"/>
    <w:rsid w:val="00D71176"/>
    <w:rsid w:val="00D71FF6"/>
    <w:rsid w:val="00D728D1"/>
    <w:rsid w:val="00D72E79"/>
    <w:rsid w:val="00D74279"/>
    <w:rsid w:val="00D75C30"/>
    <w:rsid w:val="00D76337"/>
    <w:rsid w:val="00D76433"/>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59BA"/>
    <w:rsid w:val="00DD6F65"/>
    <w:rsid w:val="00DD70A3"/>
    <w:rsid w:val="00DE02C1"/>
    <w:rsid w:val="00DE1C7E"/>
    <w:rsid w:val="00DE1E23"/>
    <w:rsid w:val="00DE219D"/>
    <w:rsid w:val="00DE23E7"/>
    <w:rsid w:val="00DE2E13"/>
    <w:rsid w:val="00DE3856"/>
    <w:rsid w:val="00DE415E"/>
    <w:rsid w:val="00DE4782"/>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68A6"/>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028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AF1"/>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57EF0"/>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E08"/>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1B10"/>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C15"/>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71038">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48806343">
      <w:bodyDiv w:val="1"/>
      <w:marLeft w:val="0"/>
      <w:marRight w:val="0"/>
      <w:marTop w:val="0"/>
      <w:marBottom w:val="0"/>
      <w:divBdr>
        <w:top w:val="none" w:sz="0" w:space="0" w:color="auto"/>
        <w:left w:val="none" w:sz="0" w:space="0" w:color="auto"/>
        <w:bottom w:val="none" w:sz="0" w:space="0" w:color="auto"/>
        <w:right w:val="none" w:sz="0" w:space="0" w:color="auto"/>
      </w:divBdr>
      <w:divsChild>
        <w:div w:id="617296630">
          <w:marLeft w:val="0"/>
          <w:marRight w:val="0"/>
          <w:marTop w:val="0"/>
          <w:marBottom w:val="0"/>
          <w:divBdr>
            <w:top w:val="none" w:sz="0" w:space="0" w:color="auto"/>
            <w:left w:val="none" w:sz="0" w:space="0" w:color="auto"/>
            <w:bottom w:val="none" w:sz="0" w:space="0" w:color="auto"/>
            <w:right w:val="none" w:sz="0" w:space="0" w:color="auto"/>
          </w:divBdr>
        </w:div>
        <w:div w:id="425734190">
          <w:marLeft w:val="0"/>
          <w:marRight w:val="0"/>
          <w:marTop w:val="0"/>
          <w:marBottom w:val="0"/>
          <w:divBdr>
            <w:top w:val="none" w:sz="0" w:space="0" w:color="auto"/>
            <w:left w:val="none" w:sz="0" w:space="0" w:color="auto"/>
            <w:bottom w:val="none" w:sz="0" w:space="0" w:color="auto"/>
            <w:right w:val="none" w:sz="0" w:space="0" w:color="auto"/>
          </w:divBdr>
        </w:div>
        <w:div w:id="2100788394">
          <w:marLeft w:val="0"/>
          <w:marRight w:val="0"/>
          <w:marTop w:val="0"/>
          <w:marBottom w:val="0"/>
          <w:divBdr>
            <w:top w:val="none" w:sz="0" w:space="0" w:color="auto"/>
            <w:left w:val="none" w:sz="0" w:space="0" w:color="auto"/>
            <w:bottom w:val="none" w:sz="0" w:space="0" w:color="auto"/>
            <w:right w:val="none" w:sz="0" w:space="0" w:color="auto"/>
          </w:divBdr>
        </w:div>
        <w:div w:id="1047223647">
          <w:marLeft w:val="0"/>
          <w:marRight w:val="0"/>
          <w:marTop w:val="0"/>
          <w:marBottom w:val="0"/>
          <w:divBdr>
            <w:top w:val="none" w:sz="0" w:space="0" w:color="auto"/>
            <w:left w:val="none" w:sz="0" w:space="0" w:color="auto"/>
            <w:bottom w:val="none" w:sz="0" w:space="0" w:color="auto"/>
            <w:right w:val="none" w:sz="0" w:space="0" w:color="auto"/>
          </w:divBdr>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655924">
      <w:bodyDiv w:val="1"/>
      <w:marLeft w:val="0"/>
      <w:marRight w:val="0"/>
      <w:marTop w:val="0"/>
      <w:marBottom w:val="0"/>
      <w:divBdr>
        <w:top w:val="none" w:sz="0" w:space="0" w:color="auto"/>
        <w:left w:val="none" w:sz="0" w:space="0" w:color="auto"/>
        <w:bottom w:val="none" w:sz="0" w:space="0" w:color="auto"/>
        <w:right w:val="none" w:sz="0" w:space="0" w:color="auto"/>
      </w:divBdr>
      <w:divsChild>
        <w:div w:id="1510674738">
          <w:marLeft w:val="0"/>
          <w:marRight w:val="0"/>
          <w:marTop w:val="0"/>
          <w:marBottom w:val="0"/>
          <w:divBdr>
            <w:top w:val="none" w:sz="0" w:space="0" w:color="auto"/>
            <w:left w:val="none" w:sz="0" w:space="0" w:color="auto"/>
            <w:bottom w:val="none" w:sz="0" w:space="0" w:color="auto"/>
            <w:right w:val="none" w:sz="0" w:space="0" w:color="auto"/>
          </w:divBdr>
        </w:div>
        <w:div w:id="2057506017">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63005318">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8A05D-3DF9-4951-9897-490923793AC3}"/>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Loqtorzi SGM 6237-A</vt:lpstr>
    </vt:vector>
  </TitlesOfParts>
  <Company>CVS Caremark</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Loqtorzi SGM 6237-A</dc:title>
  <dc:subject>Loqtorzi SGM 6237-A</dc:subject>
  <dc:creator>CVS Caremark</dc:creator>
  <cp:keywords/>
  <cp:lastModifiedBy>Reynoso, Victor H</cp:lastModifiedBy>
  <cp:revision>4</cp:revision>
  <cp:lastPrinted>2024-04-24T04:48:00Z</cp:lastPrinted>
  <dcterms:created xsi:type="dcterms:W3CDTF">2025-07-02T16:16:00Z</dcterms:created>
  <dcterms:modified xsi:type="dcterms:W3CDTF">2025-07-02T16:17:00Z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